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9C" w:rsidRPr="0080419C" w:rsidRDefault="0080419C" w:rsidP="0080419C">
      <w:pPr>
        <w:widowControl/>
        <w:spacing w:line="259" w:lineRule="auto"/>
        <w:ind w:right="112"/>
        <w:jc w:val="center"/>
        <w:rPr>
          <w:rFonts w:ascii="ＭＳ 明朝" w:eastAsia="ＭＳ 明朝" w:hAnsi="ＭＳ 明朝" w:cs="ＭＳ 明朝"/>
          <w:color w:val="000000"/>
          <w:sz w:val="24"/>
        </w:rPr>
      </w:pPr>
      <w:r w:rsidRPr="0080419C">
        <w:rPr>
          <w:rFonts w:ascii="ＭＳ 明朝" w:eastAsia="ＭＳ 明朝" w:hAnsi="ＭＳ 明朝" w:cs="ＭＳ 明朝"/>
          <w:color w:val="000000"/>
          <w:sz w:val="30"/>
        </w:rPr>
        <w:t>契約履行後における代金の確定に関する特約条項</w:t>
      </w:r>
      <w:r w:rsidRPr="0080419C">
        <w:rPr>
          <w:rFonts w:ascii="ＭＳ 明朝" w:eastAsia="ＭＳ 明朝" w:hAnsi="ＭＳ 明朝" w:cs="ＭＳ 明朝"/>
          <w:color w:val="000000"/>
          <w:sz w:val="24"/>
        </w:rPr>
        <w:t xml:space="preserve"> </w:t>
      </w:r>
    </w:p>
    <w:p w:rsidR="0080419C" w:rsidRPr="0080419C" w:rsidRDefault="0080419C" w:rsidP="0080419C">
      <w:pPr>
        <w:widowControl/>
        <w:spacing w:line="283" w:lineRule="auto"/>
        <w:ind w:right="8946"/>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  </w:t>
      </w: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 甲及び乙は、契約履行後における代金の確定に関し、次の特約条項を定める。 </w:t>
      </w:r>
    </w:p>
    <w:p w:rsidR="0080419C" w:rsidRPr="0080419C" w:rsidRDefault="0080419C" w:rsidP="0080419C">
      <w:pPr>
        <w:widowControl/>
        <w:spacing w:after="29" w:line="259" w:lineRule="auto"/>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 </w:t>
      </w: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（代金の確定） </w:t>
      </w:r>
    </w:p>
    <w:p w:rsidR="0080419C" w:rsidRPr="0080419C" w:rsidRDefault="0080419C" w:rsidP="0080419C">
      <w:pPr>
        <w:widowControl/>
        <w:spacing w:after="16" w:line="271" w:lineRule="auto"/>
        <w:ind w:left="237"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第１条 乙に支払われる代金の金額は、この契約条項の定めるところに従い、契約履行後において確定するものとする。 </w:t>
      </w: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（実績価格） </w:t>
      </w:r>
    </w:p>
    <w:p w:rsidR="0080419C" w:rsidRPr="0080419C" w:rsidRDefault="0080419C" w:rsidP="0080419C">
      <w:pPr>
        <w:widowControl/>
        <w:spacing w:after="16" w:line="271" w:lineRule="auto"/>
        <w:ind w:left="237"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第２条 この契約において「実績価格」とは、乙がこの契約の履行のために支出し、又は負担した費用に適正な利益を加えた金額をいう。 </w:t>
      </w:r>
    </w:p>
    <w:p w:rsidR="0080419C" w:rsidRPr="0080419C" w:rsidRDefault="0080419C" w:rsidP="0080419C">
      <w:pPr>
        <w:widowControl/>
        <w:spacing w:after="1" w:line="284" w:lineRule="auto"/>
        <w:ind w:left="237" w:right="108" w:hanging="252"/>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２ 実績価格は、別紙の実績価格に関する計算基準（以下「計算基準」という。）及び乙の原価計算の実施に関する規則（以下「計算規則」という。）に基づいて計算する。 </w:t>
      </w: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（確定代金） </w:t>
      </w:r>
    </w:p>
    <w:p w:rsidR="0080419C" w:rsidRPr="0080419C" w:rsidRDefault="0080419C" w:rsidP="0080419C">
      <w:pPr>
        <w:widowControl/>
        <w:spacing w:after="1" w:line="284" w:lineRule="auto"/>
        <w:ind w:left="237" w:right="108" w:hanging="252"/>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第３条 実績価格が契約金額に達しない場合は当該実績価格をもって、これに等しいか、又はこれを超える場合は契約金額をもって、乙に支払われる代金として確定する。 </w:t>
      </w:r>
    </w:p>
    <w:p w:rsidR="0080419C" w:rsidRPr="0080419C" w:rsidRDefault="0080419C" w:rsidP="0080419C">
      <w:pPr>
        <w:widowControl/>
        <w:numPr>
          <w:ilvl w:val="0"/>
          <w:numId w:val="1"/>
        </w:numPr>
        <w:spacing w:after="16" w:line="271" w:lineRule="auto"/>
        <w:ind w:hanging="48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前項の規定により、実績価格をもって代金を確定する場合は契約金額を当該実績価格の金額に変更する措置をとるものとし、契約金額をもって代金を確定する場合は契約金額に増減がない旨を確認する措置をとるものとする。 </w:t>
      </w:r>
    </w:p>
    <w:p w:rsidR="0080419C" w:rsidRPr="0080419C" w:rsidRDefault="0080419C" w:rsidP="0080419C">
      <w:pPr>
        <w:widowControl/>
        <w:numPr>
          <w:ilvl w:val="0"/>
          <w:numId w:val="1"/>
        </w:numPr>
        <w:spacing w:after="16" w:line="271" w:lineRule="auto"/>
        <w:ind w:hanging="48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代金の確定は、 年 月 日までに行うことを目途とする。 </w:t>
      </w: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（実際価格計算書及び資料の提出） </w:t>
      </w:r>
    </w:p>
    <w:p w:rsidR="0080419C" w:rsidRPr="0080419C" w:rsidRDefault="0080419C" w:rsidP="0080419C">
      <w:pPr>
        <w:widowControl/>
        <w:spacing w:after="16" w:line="271" w:lineRule="auto"/>
        <w:ind w:left="237"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第４条 乙は、 年 月 日までに計算基準及び計算規則に基づいて実際価格計算書を作成し、甲に提出するものとする。 </w:t>
      </w:r>
    </w:p>
    <w:p w:rsidR="0080419C" w:rsidRPr="0080419C" w:rsidRDefault="0080419C" w:rsidP="0080419C">
      <w:pPr>
        <w:widowControl/>
        <w:spacing w:after="16" w:line="271" w:lineRule="auto"/>
        <w:ind w:left="237"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２ 甲は、前項の実際価格計算書のほか、乙がこの契約のために支出し、又は負担した費用を証する書類その他当該費用を確認するための資料を必要とする場合は、乙にその提出を求めることができる。  </w:t>
      </w: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（計算規則の確認等） </w:t>
      </w:r>
    </w:p>
    <w:p w:rsidR="0080419C" w:rsidRPr="0080419C" w:rsidRDefault="0080419C" w:rsidP="0080419C">
      <w:pPr>
        <w:widowControl/>
        <w:spacing w:after="16" w:line="271" w:lineRule="auto"/>
        <w:ind w:left="237"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第５条 乙は、契約締結後速やかに契約締結時の計算規則を甲に提出し、その確認を受けなければならない。 </w:t>
      </w:r>
    </w:p>
    <w:p w:rsidR="0080419C" w:rsidRPr="0080419C" w:rsidRDefault="0080419C" w:rsidP="0080419C">
      <w:pPr>
        <w:widowControl/>
        <w:numPr>
          <w:ilvl w:val="0"/>
          <w:numId w:val="2"/>
        </w:numPr>
        <w:spacing w:after="16" w:line="271" w:lineRule="auto"/>
        <w:ind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乙は、契約締結時の計算規則の全部又は一部を変更しようとする場合は、その理由を付して甲に申請し、その承認を受けなければならない。 </w:t>
      </w:r>
    </w:p>
    <w:p w:rsidR="0080419C" w:rsidRPr="0080419C" w:rsidRDefault="0080419C" w:rsidP="0080419C">
      <w:pPr>
        <w:widowControl/>
        <w:numPr>
          <w:ilvl w:val="0"/>
          <w:numId w:val="2"/>
        </w:numPr>
        <w:spacing w:after="16" w:line="271" w:lineRule="auto"/>
        <w:ind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乙は、原価に影響のある社規、社則、通達、制度若しくは会計手続等を新設し、又は変更した場合は、速やかに甲に報告しなければならない。 </w:t>
      </w:r>
    </w:p>
    <w:p w:rsidR="0080419C" w:rsidRDefault="0080419C" w:rsidP="0080419C">
      <w:pPr>
        <w:widowControl/>
        <w:numPr>
          <w:ilvl w:val="0"/>
          <w:numId w:val="2"/>
        </w:numPr>
        <w:spacing w:after="16" w:line="271" w:lineRule="auto"/>
        <w:ind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前３項の規定は、乙が既に他の甲との契約において当該事項に関し甲の確認若しくは承認を受け、又は甲に報告している場合は、適用しない。 </w:t>
      </w:r>
    </w:p>
    <w:p w:rsidR="0080419C" w:rsidRPr="0080419C" w:rsidRDefault="0080419C" w:rsidP="0080419C">
      <w:pPr>
        <w:widowControl/>
        <w:spacing w:after="16" w:line="271" w:lineRule="auto"/>
        <w:ind w:left="252"/>
        <w:jc w:val="left"/>
        <w:rPr>
          <w:rFonts w:ascii="ＭＳ 明朝" w:eastAsia="ＭＳ 明朝" w:hAnsi="ＭＳ 明朝" w:cs="ＭＳ 明朝"/>
          <w:color w:val="000000"/>
          <w:sz w:val="24"/>
        </w:rPr>
      </w:pPr>
    </w:p>
    <w:p w:rsidR="0080419C" w:rsidRPr="0080419C" w:rsidRDefault="0080419C" w:rsidP="0080419C">
      <w:pPr>
        <w:widowControl/>
        <w:spacing w:after="16" w:line="271" w:lineRule="auto"/>
        <w:ind w:left="-15"/>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（原価監査） </w:t>
      </w:r>
      <w:bookmarkStart w:id="0" w:name="_GoBack"/>
      <w:bookmarkEnd w:id="0"/>
    </w:p>
    <w:p w:rsidR="0080419C" w:rsidRPr="0080419C" w:rsidRDefault="0080419C" w:rsidP="009264F6">
      <w:pPr>
        <w:spacing w:after="29" w:line="283" w:lineRule="auto"/>
        <w:ind w:left="233" w:right="108" w:hanging="250"/>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lastRenderedPageBreak/>
        <w:t xml:space="preserve">第６条 甲は、乙がこの契約の履行のために支出し、又は負担した費用を確認し、その適否を審査するため、乙が提出した実際価格計算書その他の資料に基づいて原価監査を実施するものとする。 </w:t>
      </w:r>
    </w:p>
    <w:p w:rsidR="0080419C" w:rsidRPr="0080419C" w:rsidRDefault="0080419C" w:rsidP="0080419C">
      <w:pPr>
        <w:widowControl/>
        <w:numPr>
          <w:ilvl w:val="0"/>
          <w:numId w:val="3"/>
        </w:numPr>
        <w:spacing w:after="16" w:line="271" w:lineRule="auto"/>
        <w:ind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甲は、原価監査を実施するため及びこれに関して必要な調査を行うため必要があると認めた場合は、甲の指名する原価監査官を乙の営業所、工場その他の関係場所に派遣するものとする。ただし、下請負者の営業所、工場その他関係場所については、あらかじめ乙の同意を得たものに限る。 </w:t>
      </w:r>
    </w:p>
    <w:p w:rsidR="0080419C" w:rsidRDefault="0080419C" w:rsidP="0080419C">
      <w:pPr>
        <w:widowControl/>
        <w:numPr>
          <w:ilvl w:val="0"/>
          <w:numId w:val="3"/>
        </w:numPr>
        <w:spacing w:after="16" w:line="271" w:lineRule="auto"/>
        <w:ind w:hanging="252"/>
        <w:jc w:val="left"/>
        <w:rPr>
          <w:rFonts w:ascii="ＭＳ 明朝" w:eastAsia="ＭＳ 明朝" w:hAnsi="ＭＳ 明朝" w:cs="ＭＳ 明朝"/>
          <w:color w:val="000000"/>
          <w:sz w:val="24"/>
        </w:rPr>
      </w:pPr>
      <w:r w:rsidRPr="0080419C">
        <w:rPr>
          <w:rFonts w:ascii="ＭＳ 明朝" w:eastAsia="ＭＳ 明朝" w:hAnsi="ＭＳ 明朝" w:cs="ＭＳ 明朝"/>
          <w:color w:val="000000"/>
          <w:sz w:val="24"/>
        </w:rPr>
        <w:t xml:space="preserve">原価監査官の派遣及び原価監査官の職務の遂行については、契約条項の職員の派遣及び調査に関する規定を適用する。 </w:t>
      </w:r>
    </w:p>
    <w:p w:rsidR="00D00C9C" w:rsidRPr="00D00C9C" w:rsidRDefault="00D00C9C" w:rsidP="00D00C9C">
      <w:pPr>
        <w:widowControl/>
        <w:numPr>
          <w:ilvl w:val="0"/>
          <w:numId w:val="3"/>
        </w:numPr>
        <w:spacing w:after="16" w:line="271" w:lineRule="auto"/>
        <w:ind w:hanging="252"/>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甲は</w:t>
      </w:r>
      <w:r>
        <w:rPr>
          <w:rFonts w:ascii="ＭＳ 明朝" w:eastAsia="ＭＳ 明朝" w:hAnsi="ＭＳ 明朝" w:cs="ＭＳ 明朝"/>
          <w:color w:val="000000"/>
          <w:sz w:val="24"/>
        </w:rPr>
        <w:t>、</w:t>
      </w:r>
      <w:r>
        <w:rPr>
          <w:rFonts w:ascii="ＭＳ 明朝" w:eastAsia="ＭＳ 明朝" w:hAnsi="ＭＳ 明朝" w:cs="ＭＳ 明朝" w:hint="eastAsia"/>
          <w:color w:val="000000"/>
          <w:sz w:val="24"/>
        </w:rPr>
        <w:t>乙が</w:t>
      </w:r>
      <w:r w:rsidRPr="00D00C9C">
        <w:rPr>
          <w:rFonts w:ascii="ＭＳ 明朝" w:eastAsia="ＭＳ 明朝" w:hAnsi="ＭＳ 明朝" w:cs="ＭＳ 明朝"/>
          <w:color w:val="000000"/>
          <w:sz w:val="24"/>
        </w:rPr>
        <w:t>原価監査の実施に協力しないため原価監査を実施することができなかった場合は、査定により、乙がこの契約の履行のために支出し、又は負担した費用の金額を決定することができる。</w:t>
      </w:r>
    </w:p>
    <w:sectPr w:rsidR="00D00C9C" w:rsidRPr="00D00C9C" w:rsidSect="00C33E27">
      <w:footerReference w:type="default" r:id="rId7"/>
      <w:pgSz w:w="11906" w:h="16838" w:code="9"/>
      <w:pgMar w:top="1247" w:right="1134" w:bottom="1247" w:left="1134" w:header="851" w:footer="992" w:gutter="0"/>
      <w:pgNumType w:start="155"/>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3D" w:rsidRDefault="00F1073D" w:rsidP="00C33E27">
      <w:r>
        <w:separator/>
      </w:r>
    </w:p>
  </w:endnote>
  <w:endnote w:type="continuationSeparator" w:id="0">
    <w:p w:rsidR="00F1073D" w:rsidRDefault="00F1073D" w:rsidP="00C3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27" w:rsidRDefault="00C33E27">
    <w:pPr>
      <w:pStyle w:val="a5"/>
      <w:jc w:val="center"/>
    </w:pPr>
  </w:p>
  <w:p w:rsidR="00C33E27" w:rsidRDefault="00C33E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3D" w:rsidRDefault="00F1073D" w:rsidP="00C33E27">
      <w:r>
        <w:separator/>
      </w:r>
    </w:p>
  </w:footnote>
  <w:footnote w:type="continuationSeparator" w:id="0">
    <w:p w:rsidR="00F1073D" w:rsidRDefault="00F1073D" w:rsidP="00C33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C6F79"/>
    <w:multiLevelType w:val="hybridMultilevel"/>
    <w:tmpl w:val="950A2846"/>
    <w:lvl w:ilvl="0" w:tplc="5F90A0F6">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BC083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EC05C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3E63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16B4F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0A2B1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985C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10D1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6E3A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4F51B8"/>
    <w:multiLevelType w:val="hybridMultilevel"/>
    <w:tmpl w:val="990E3D94"/>
    <w:lvl w:ilvl="0" w:tplc="A822A5EE">
      <w:start w:val="2"/>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0C0CD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D8BD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E966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8CC30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9A42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1022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6691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8C3B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D15B51"/>
    <w:multiLevelType w:val="hybridMultilevel"/>
    <w:tmpl w:val="00A29790"/>
    <w:lvl w:ilvl="0" w:tplc="D9F8C078">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9A4D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DC28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26F9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B45D4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FA464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5E93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34F4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D872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9C"/>
    <w:rsid w:val="00782F53"/>
    <w:rsid w:val="0080419C"/>
    <w:rsid w:val="009264F6"/>
    <w:rsid w:val="00C33E27"/>
    <w:rsid w:val="00D00C9C"/>
    <w:rsid w:val="00D94F31"/>
    <w:rsid w:val="00F1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337CC3-4DF3-4876-85A2-1682009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E27"/>
    <w:pPr>
      <w:tabs>
        <w:tab w:val="center" w:pos="4252"/>
        <w:tab w:val="right" w:pos="8504"/>
      </w:tabs>
      <w:snapToGrid w:val="0"/>
    </w:pPr>
  </w:style>
  <w:style w:type="character" w:customStyle="1" w:styleId="a4">
    <w:name w:val="ヘッダー (文字)"/>
    <w:basedOn w:val="a0"/>
    <w:link w:val="a3"/>
    <w:uiPriority w:val="99"/>
    <w:rsid w:val="00C33E27"/>
  </w:style>
  <w:style w:type="paragraph" w:styleId="a5">
    <w:name w:val="footer"/>
    <w:basedOn w:val="a"/>
    <w:link w:val="a6"/>
    <w:uiPriority w:val="99"/>
    <w:unhideWhenUsed/>
    <w:rsid w:val="00C33E27"/>
    <w:pPr>
      <w:tabs>
        <w:tab w:val="center" w:pos="4252"/>
        <w:tab w:val="right" w:pos="8504"/>
      </w:tabs>
      <w:snapToGrid w:val="0"/>
    </w:pPr>
  </w:style>
  <w:style w:type="character" w:customStyle="1" w:styleId="a6">
    <w:name w:val="フッター (文字)"/>
    <w:basedOn w:val="a0"/>
    <w:link w:val="a5"/>
    <w:uiPriority w:val="99"/>
    <w:rsid w:val="00C3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97479DF1.dotm</Template>
  <TotalTime>3</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千鶴</dc:creator>
  <cp:keywords/>
  <dc:description/>
  <cp:lastModifiedBy>永野　勝彦</cp:lastModifiedBy>
  <cp:revision>5</cp:revision>
  <dcterms:created xsi:type="dcterms:W3CDTF">2016-08-04T07:48:00Z</dcterms:created>
  <dcterms:modified xsi:type="dcterms:W3CDTF">2020-04-12T11:55:00Z</dcterms:modified>
</cp:coreProperties>
</file>